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A694" w14:textId="108AB2CD" w:rsidR="00323E4E" w:rsidRDefault="008F7C16" w:rsidP="008F7C16">
      <w:pPr>
        <w:jc w:val="center"/>
        <w:rPr>
          <w:b/>
          <w:bCs/>
          <w:color w:val="333333"/>
          <w:sz w:val="36"/>
          <w:szCs w:val="36"/>
          <w:shd w:val="clear" w:color="auto" w:fill="FFFFFF"/>
        </w:rPr>
      </w:pPr>
      <w:r>
        <w:rPr>
          <w:rFonts w:hint="eastAsia"/>
          <w:b/>
          <w:bCs/>
          <w:color w:val="333333"/>
          <w:sz w:val="36"/>
          <w:szCs w:val="36"/>
          <w:shd w:val="clear" w:color="auto" w:fill="FFFFFF"/>
        </w:rPr>
        <w:t>宜春市民政局2020年政府信息公开工作年度报告</w:t>
      </w:r>
    </w:p>
    <w:p w14:paraId="33FA2370" w14:textId="1E2E45AC" w:rsidR="008F7C16" w:rsidRDefault="008F7C16">
      <w:pPr>
        <w:rPr>
          <w:b/>
          <w:bCs/>
          <w:color w:val="333333"/>
          <w:sz w:val="36"/>
          <w:szCs w:val="36"/>
          <w:shd w:val="clear" w:color="auto" w:fill="FFFFFF"/>
        </w:rPr>
      </w:pPr>
    </w:p>
    <w:p w14:paraId="11588854" w14:textId="77777777" w:rsidR="008F7C16" w:rsidRPr="008F7C16" w:rsidRDefault="008F7C16" w:rsidP="008F7C16">
      <w:pPr>
        <w:widowControl/>
        <w:shd w:val="clear" w:color="auto" w:fill="FFFFFF"/>
        <w:ind w:firstLine="645"/>
        <w:rPr>
          <w:rFonts w:ascii="微软雅黑" w:eastAsia="微软雅黑" w:hAnsi="微软雅黑" w:cs="宋体"/>
          <w:color w:val="333333"/>
          <w:kern w:val="0"/>
          <w:sz w:val="26"/>
          <w:szCs w:val="26"/>
        </w:rPr>
      </w:pPr>
      <w:r w:rsidRPr="008F7C16">
        <w:rPr>
          <w:rFonts w:ascii="宋体" w:eastAsia="宋体" w:hAnsi="宋体" w:cs="宋体" w:hint="eastAsia"/>
          <w:color w:val="000000"/>
          <w:kern w:val="0"/>
          <w:sz w:val="27"/>
          <w:szCs w:val="27"/>
          <w:bdr w:val="none" w:sz="0" w:space="0" w:color="auto" w:frame="1"/>
        </w:rPr>
        <w:t>本报告依据《中华人民共和国政府信息公开条例》（国务院令第711号，以下简称新《条例》）和《国务院办公厅政府信息与政务公开办公室关于政府信息公开工作年度报告有关事项的通知》（国办公开办函〔2019〕60号）要求，由宜春市民政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宜春市民政局网站（</w:t>
      </w:r>
      <w:hyperlink r:id="rId6" w:history="1">
        <w:r w:rsidRPr="008F7C16">
          <w:rPr>
            <w:rFonts w:ascii="微软雅黑" w:eastAsia="微软雅黑" w:hAnsi="微软雅黑" w:cs="宋体" w:hint="eastAsia"/>
            <w:color w:val="000000"/>
            <w:kern w:val="0"/>
            <w:sz w:val="27"/>
            <w:szCs w:val="27"/>
            <w:u w:val="single"/>
            <w:bdr w:val="none" w:sz="0" w:space="0" w:color="auto" w:frame="1"/>
          </w:rPr>
          <w:t>http://mz.yichun.gov.cn/</w:t>
        </w:r>
      </w:hyperlink>
      <w:r w:rsidRPr="008F7C16">
        <w:rPr>
          <w:rFonts w:ascii="宋体" w:eastAsia="宋体" w:hAnsi="宋体" w:cs="宋体" w:hint="eastAsia"/>
          <w:color w:val="000000"/>
          <w:kern w:val="0"/>
          <w:sz w:val="27"/>
          <w:szCs w:val="27"/>
          <w:bdr w:val="none" w:sz="0" w:space="0" w:color="auto" w:frame="1"/>
        </w:rPr>
        <w:t>）下载。如对本报告有任何疑问，请与宜春市民政局联系（地址：江西省宜春市袁州区宜阳大厦中座6楼，电话：0795-3272631，邮编：336000）。</w:t>
      </w:r>
    </w:p>
    <w:p w14:paraId="0C72C6C0"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7"/>
          <w:szCs w:val="27"/>
          <w:bdr w:val="none" w:sz="0" w:space="0" w:color="auto" w:frame="1"/>
        </w:rPr>
        <w:t> </w:t>
      </w:r>
    </w:p>
    <w:p w14:paraId="2A3F6B20"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黑体" w:eastAsia="黑体" w:hAnsi="黑体" w:cs="宋体" w:hint="eastAsia"/>
          <w:color w:val="333333"/>
          <w:kern w:val="0"/>
          <w:sz w:val="27"/>
          <w:szCs w:val="27"/>
          <w:bdr w:val="none" w:sz="0" w:space="0" w:color="auto" w:frame="1"/>
        </w:rPr>
        <w:t>一、</w:t>
      </w:r>
      <w:r w:rsidRPr="008F7C16">
        <w:rPr>
          <w:rFonts w:ascii="黑体" w:eastAsia="黑体" w:hAnsi="黑体" w:cs="宋体" w:hint="eastAsia"/>
          <w:color w:val="000000"/>
          <w:kern w:val="0"/>
          <w:sz w:val="27"/>
          <w:szCs w:val="27"/>
          <w:bdr w:val="none" w:sz="0" w:space="0" w:color="auto" w:frame="1"/>
          <w:shd w:val="clear" w:color="auto" w:fill="FFFFFF"/>
        </w:rPr>
        <w:t>总体情况</w:t>
      </w:r>
    </w:p>
    <w:p w14:paraId="5DFD6704" w14:textId="77777777" w:rsidR="008F7C16" w:rsidRPr="008F7C16" w:rsidRDefault="008F7C16" w:rsidP="008F7C16">
      <w:pPr>
        <w:widowControl/>
        <w:shd w:val="clear" w:color="auto" w:fill="FFFFFF"/>
        <w:ind w:firstLine="645"/>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2020年宜春市民政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全面执行省、市政府有关信息公开部署，扎实有序推进宜春市民政领域政府信息公开，充分发挥政府信息公开职能和效能，立足民政职责，聚焦</w:t>
      </w:r>
      <w:r w:rsidRPr="008F7C16">
        <w:rPr>
          <w:rFonts w:ascii="宋体" w:eastAsia="宋体" w:hAnsi="宋体" w:cs="宋体" w:hint="eastAsia"/>
          <w:color w:val="000000"/>
          <w:kern w:val="0"/>
          <w:sz w:val="27"/>
          <w:szCs w:val="27"/>
          <w:bdr w:val="none" w:sz="0" w:space="0" w:color="auto" w:frame="1"/>
          <w:shd w:val="clear" w:color="auto" w:fill="FFFFFF"/>
        </w:rPr>
        <w:lastRenderedPageBreak/>
        <w:t>做好“六稳”工作、落实“六保”任务，以公开促落实、促规范、促服务，凝心聚力推动民政事业和社会建设高质量发展，以高质量公开助力推进宜春治理体系和治理能力现代化。</w:t>
      </w:r>
    </w:p>
    <w:p w14:paraId="5D65EDBA" w14:textId="77777777" w:rsidR="008F7C16" w:rsidRPr="008F7C16" w:rsidRDefault="008F7C16" w:rsidP="008F7C16">
      <w:pPr>
        <w:widowControl/>
        <w:shd w:val="clear" w:color="auto" w:fill="FFFFFF"/>
        <w:rPr>
          <w:rFonts w:ascii="微软雅黑" w:eastAsia="微软雅黑" w:hAnsi="微软雅黑" w:cs="宋体" w:hint="eastAsia"/>
          <w:color w:val="333333"/>
          <w:kern w:val="0"/>
          <w:sz w:val="26"/>
          <w:szCs w:val="26"/>
        </w:rPr>
      </w:pPr>
      <w:r w:rsidRPr="008F7C16">
        <w:rPr>
          <w:rFonts w:ascii="宋体" w:eastAsia="宋体" w:hAnsi="宋体" w:cs="宋体" w:hint="eastAsia"/>
          <w:b/>
          <w:bCs/>
          <w:color w:val="333333"/>
          <w:kern w:val="0"/>
          <w:sz w:val="27"/>
          <w:szCs w:val="27"/>
          <w:bdr w:val="none" w:sz="0" w:space="0" w:color="auto" w:frame="1"/>
          <w:shd w:val="clear" w:color="auto" w:fill="FFFFFF"/>
        </w:rPr>
        <w:t> </w:t>
      </w:r>
    </w:p>
    <w:p w14:paraId="2A5DDA47" w14:textId="77777777" w:rsidR="008F7C16" w:rsidRPr="008F7C16" w:rsidRDefault="008F7C16" w:rsidP="008F7C16">
      <w:pPr>
        <w:widowControl/>
        <w:shd w:val="clear" w:color="auto" w:fill="FFFFFF"/>
        <w:rPr>
          <w:rFonts w:ascii="微软雅黑" w:eastAsia="微软雅黑" w:hAnsi="微软雅黑" w:cs="宋体" w:hint="eastAsia"/>
          <w:color w:val="333333"/>
          <w:kern w:val="0"/>
          <w:sz w:val="26"/>
          <w:szCs w:val="26"/>
        </w:rPr>
      </w:pPr>
      <w:r w:rsidRPr="008F7C16">
        <w:rPr>
          <w:rFonts w:ascii="楷体" w:eastAsia="楷体" w:hAnsi="楷体" w:cs="宋体" w:hint="eastAsia"/>
          <w:color w:val="333333"/>
          <w:kern w:val="0"/>
          <w:sz w:val="27"/>
          <w:szCs w:val="27"/>
          <w:bdr w:val="none" w:sz="0" w:space="0" w:color="auto" w:frame="1"/>
        </w:rPr>
        <w:t>（一）</w:t>
      </w:r>
      <w:r w:rsidRPr="008F7C16">
        <w:rPr>
          <w:rFonts w:ascii="楷体" w:eastAsia="楷体" w:hAnsi="楷体" w:cs="宋体" w:hint="eastAsia"/>
          <w:color w:val="000000"/>
          <w:kern w:val="0"/>
          <w:sz w:val="27"/>
          <w:szCs w:val="27"/>
          <w:bdr w:val="none" w:sz="0" w:space="0" w:color="auto" w:frame="1"/>
          <w:shd w:val="clear" w:color="auto" w:fill="FFFFFF"/>
        </w:rPr>
        <w:t>主动公开</w:t>
      </w:r>
    </w:p>
    <w:p w14:paraId="6D8BAA3C" w14:textId="77777777" w:rsidR="008F7C16" w:rsidRPr="008F7C16" w:rsidRDefault="008F7C16" w:rsidP="008F7C16">
      <w:pPr>
        <w:widowControl/>
        <w:shd w:val="clear" w:color="auto" w:fill="FFFFFF"/>
        <w:spacing w:line="540" w:lineRule="atLeast"/>
        <w:ind w:firstLine="645"/>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宜春市民政局以《2020年宜春市政务公开工作要点》、《宜春市人民政府办公室关于规范主动公开内容栏的通知》等文件精神为指导，结合自身工作实际，一是健全组织机构，成立了以主要领导为组长，分管领导为副组长，各科室科长和下属单位负责人为成员的局政务公开工作领导小组，把政务公开列入局全年工作目标，明确政务公开工作任务，压实政务公开工作责任。二是抓好民政领域重点信息公开，2020年我局</w:t>
      </w:r>
      <w:proofErr w:type="gramStart"/>
      <w:r w:rsidRPr="008F7C16">
        <w:rPr>
          <w:rFonts w:ascii="宋体" w:eastAsia="宋体" w:hAnsi="宋体" w:cs="宋体" w:hint="eastAsia"/>
          <w:color w:val="000000"/>
          <w:kern w:val="0"/>
          <w:sz w:val="27"/>
          <w:szCs w:val="27"/>
          <w:bdr w:val="none" w:sz="0" w:space="0" w:color="auto" w:frame="1"/>
          <w:shd w:val="clear" w:color="auto" w:fill="FFFFFF"/>
        </w:rPr>
        <w:t>利用局官网、微信公众号</w:t>
      </w:r>
      <w:proofErr w:type="gramEnd"/>
      <w:r w:rsidRPr="008F7C16">
        <w:rPr>
          <w:rFonts w:ascii="宋体" w:eastAsia="宋体" w:hAnsi="宋体" w:cs="宋体" w:hint="eastAsia"/>
          <w:color w:val="000000"/>
          <w:kern w:val="0"/>
          <w:sz w:val="27"/>
          <w:szCs w:val="27"/>
          <w:bdr w:val="none" w:sz="0" w:space="0" w:color="auto" w:frame="1"/>
          <w:shd w:val="clear" w:color="auto" w:fill="FFFFFF"/>
        </w:rPr>
        <w:t>等政务新媒体发布养老服务、社会救助、社会组织、基层政权和社区治理、疫情防控、人事变动、预决算等重点工作信息，确保均在规定的期限内，按规定的程序主动予以公开，保证信息的真实性、完整性和时效性。通过局网站发布信息377条，</w:t>
      </w:r>
      <w:proofErr w:type="gramStart"/>
      <w:r w:rsidRPr="008F7C16">
        <w:rPr>
          <w:rFonts w:ascii="宋体" w:eastAsia="宋体" w:hAnsi="宋体" w:cs="宋体" w:hint="eastAsia"/>
          <w:color w:val="000000"/>
          <w:kern w:val="0"/>
          <w:sz w:val="27"/>
          <w:szCs w:val="27"/>
          <w:bdr w:val="none" w:sz="0" w:space="0" w:color="auto" w:frame="1"/>
          <w:shd w:val="clear" w:color="auto" w:fill="FFFFFF"/>
        </w:rPr>
        <w:t>微信公众号发布</w:t>
      </w:r>
      <w:proofErr w:type="gramEnd"/>
      <w:r w:rsidRPr="008F7C16">
        <w:rPr>
          <w:rFonts w:ascii="宋体" w:eastAsia="宋体" w:hAnsi="宋体" w:cs="宋体" w:hint="eastAsia"/>
          <w:color w:val="000000"/>
          <w:kern w:val="0"/>
          <w:sz w:val="27"/>
          <w:szCs w:val="27"/>
          <w:bdr w:val="none" w:sz="0" w:space="0" w:color="auto" w:frame="1"/>
          <w:shd w:val="clear" w:color="auto" w:fill="FFFFFF"/>
        </w:rPr>
        <w:t>125条。三是做好文件解读发布，将相关政策文件按程序及时向有关单位和社会群众征求意见，及时公布意见采纳情况及决策事项，并将文件和文件解读同时发布。四是抓好人大建议政协提案的回复。2020年我局人大建议和提案办理情况均在信息公开页面向社会公开。</w:t>
      </w:r>
    </w:p>
    <w:p w14:paraId="220EB4D6"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楷体" w:eastAsia="楷体" w:hAnsi="楷体" w:cs="宋体" w:hint="eastAsia"/>
          <w:color w:val="333333"/>
          <w:kern w:val="0"/>
          <w:sz w:val="27"/>
          <w:szCs w:val="27"/>
          <w:bdr w:val="none" w:sz="0" w:space="0" w:color="auto" w:frame="1"/>
        </w:rPr>
        <w:t>（二）</w:t>
      </w:r>
      <w:r w:rsidRPr="008F7C16">
        <w:rPr>
          <w:rFonts w:ascii="楷体" w:eastAsia="楷体" w:hAnsi="楷体" w:cs="宋体" w:hint="eastAsia"/>
          <w:color w:val="000000"/>
          <w:kern w:val="0"/>
          <w:sz w:val="27"/>
          <w:szCs w:val="27"/>
          <w:bdr w:val="none" w:sz="0" w:space="0" w:color="auto" w:frame="1"/>
          <w:shd w:val="clear" w:color="auto" w:fill="FFFFFF"/>
        </w:rPr>
        <w:t>依申请公开</w:t>
      </w:r>
    </w:p>
    <w:p w14:paraId="293C4518" w14:textId="77777777" w:rsidR="008F7C16" w:rsidRPr="008F7C16" w:rsidRDefault="008F7C16" w:rsidP="008F7C16">
      <w:pPr>
        <w:widowControl/>
        <w:shd w:val="clear" w:color="auto" w:fill="FFFFFF"/>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2020年度宜春市民政局无信息公开申请件，未发生针对本部门有关政府信息公开事务的行政复议案；未发生针对本部门有关政府信息公开事</w:t>
      </w:r>
      <w:r w:rsidRPr="008F7C16">
        <w:rPr>
          <w:rFonts w:ascii="宋体" w:eastAsia="宋体" w:hAnsi="宋体" w:cs="宋体" w:hint="eastAsia"/>
          <w:color w:val="000000"/>
          <w:kern w:val="0"/>
          <w:sz w:val="27"/>
          <w:szCs w:val="27"/>
          <w:bdr w:val="none" w:sz="0" w:space="0" w:color="auto" w:frame="1"/>
          <w:shd w:val="clear" w:color="auto" w:fill="FFFFFF"/>
        </w:rPr>
        <w:lastRenderedPageBreak/>
        <w:t>务的行政诉讼案；未收到各</w:t>
      </w:r>
      <w:proofErr w:type="gramStart"/>
      <w:r w:rsidRPr="008F7C16">
        <w:rPr>
          <w:rFonts w:ascii="宋体" w:eastAsia="宋体" w:hAnsi="宋体" w:cs="宋体" w:hint="eastAsia"/>
          <w:color w:val="000000"/>
          <w:kern w:val="0"/>
          <w:sz w:val="27"/>
          <w:szCs w:val="27"/>
          <w:bdr w:val="none" w:sz="0" w:space="0" w:color="auto" w:frame="1"/>
          <w:shd w:val="clear" w:color="auto" w:fill="FFFFFF"/>
        </w:rPr>
        <w:t>类针对</w:t>
      </w:r>
      <w:proofErr w:type="gramEnd"/>
      <w:r w:rsidRPr="008F7C16">
        <w:rPr>
          <w:rFonts w:ascii="宋体" w:eastAsia="宋体" w:hAnsi="宋体" w:cs="宋体" w:hint="eastAsia"/>
          <w:color w:val="000000"/>
          <w:kern w:val="0"/>
          <w:sz w:val="27"/>
          <w:szCs w:val="27"/>
          <w:bdr w:val="none" w:sz="0" w:space="0" w:color="auto" w:frame="1"/>
          <w:shd w:val="clear" w:color="auto" w:fill="FFFFFF"/>
        </w:rPr>
        <w:t>本部门政府信息公开事务有关的申诉案。</w:t>
      </w:r>
    </w:p>
    <w:p w14:paraId="08336AE9"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楷体" w:eastAsia="楷体" w:hAnsi="楷体" w:cs="宋体" w:hint="eastAsia"/>
          <w:color w:val="333333"/>
          <w:kern w:val="0"/>
          <w:sz w:val="27"/>
          <w:szCs w:val="27"/>
          <w:bdr w:val="none" w:sz="0" w:space="0" w:color="auto" w:frame="1"/>
        </w:rPr>
        <w:t>（三）</w:t>
      </w:r>
      <w:r w:rsidRPr="008F7C16">
        <w:rPr>
          <w:rFonts w:ascii="楷体" w:eastAsia="楷体" w:hAnsi="楷体" w:cs="宋体" w:hint="eastAsia"/>
          <w:color w:val="000000"/>
          <w:kern w:val="0"/>
          <w:sz w:val="27"/>
          <w:szCs w:val="27"/>
          <w:bdr w:val="none" w:sz="0" w:space="0" w:color="auto" w:frame="1"/>
          <w:shd w:val="clear" w:color="auto" w:fill="FFFFFF"/>
        </w:rPr>
        <w:t>政府信息管理与平台建设</w:t>
      </w:r>
    </w:p>
    <w:p w14:paraId="3799212C" w14:textId="77777777" w:rsidR="008F7C16" w:rsidRPr="008F7C16" w:rsidRDefault="008F7C16" w:rsidP="008F7C16">
      <w:pPr>
        <w:widowControl/>
        <w:shd w:val="clear" w:color="auto" w:fill="FFFFFF"/>
        <w:ind w:firstLine="645"/>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根据规范政府信息公开平台建设工作要求，2020年我局重新设置宜春市民政局网站栏目架构，规范栏目名称，增加公开栏目；优化“宜春市民政局”</w:t>
      </w:r>
      <w:proofErr w:type="gramStart"/>
      <w:r w:rsidRPr="008F7C16">
        <w:rPr>
          <w:rFonts w:ascii="宋体" w:eastAsia="宋体" w:hAnsi="宋体" w:cs="宋体" w:hint="eastAsia"/>
          <w:color w:val="000000"/>
          <w:kern w:val="0"/>
          <w:sz w:val="27"/>
          <w:szCs w:val="27"/>
          <w:bdr w:val="none" w:sz="0" w:space="0" w:color="auto" w:frame="1"/>
          <w:shd w:val="clear" w:color="auto" w:fill="FFFFFF"/>
        </w:rPr>
        <w:t>微信公众号</w:t>
      </w:r>
      <w:proofErr w:type="gramEnd"/>
      <w:r w:rsidRPr="008F7C16">
        <w:rPr>
          <w:rFonts w:ascii="宋体" w:eastAsia="宋体" w:hAnsi="宋体" w:cs="宋体" w:hint="eastAsia"/>
          <w:color w:val="000000"/>
          <w:kern w:val="0"/>
          <w:sz w:val="27"/>
          <w:szCs w:val="27"/>
          <w:bdr w:val="none" w:sz="0" w:space="0" w:color="auto" w:frame="1"/>
          <w:shd w:val="clear" w:color="auto" w:fill="FFFFFF"/>
        </w:rPr>
        <w:t>便民服务功能，展</w:t>
      </w:r>
      <w:r w:rsidRPr="008F7C16">
        <w:rPr>
          <w:rFonts w:ascii="宋体" w:eastAsia="宋体" w:hAnsi="宋体" w:cs="宋体" w:hint="eastAsia"/>
          <w:color w:val="333333"/>
          <w:kern w:val="0"/>
          <w:sz w:val="27"/>
          <w:szCs w:val="27"/>
          <w:bdr w:val="none" w:sz="0" w:space="0" w:color="auto" w:frame="1"/>
        </w:rPr>
        <w:t>现政府信息公开平台的独特价值，使之成为社会公众便捷、全面获取重点政府信息的权威渠道。</w:t>
      </w:r>
    </w:p>
    <w:p w14:paraId="089A5520" w14:textId="77777777" w:rsidR="008F7C16" w:rsidRPr="008F7C16" w:rsidRDefault="008F7C16" w:rsidP="008F7C16">
      <w:pPr>
        <w:widowControl/>
        <w:shd w:val="clear" w:color="auto" w:fill="FFFFFF"/>
        <w:spacing w:line="540" w:lineRule="atLeast"/>
        <w:rPr>
          <w:rFonts w:ascii="微软雅黑" w:eastAsia="微软雅黑" w:hAnsi="微软雅黑" w:cs="宋体" w:hint="eastAsia"/>
          <w:color w:val="333333"/>
          <w:kern w:val="0"/>
          <w:sz w:val="26"/>
          <w:szCs w:val="26"/>
        </w:rPr>
      </w:pPr>
      <w:r w:rsidRPr="008F7C16">
        <w:rPr>
          <w:rFonts w:ascii="黑体" w:eastAsia="黑体" w:hAnsi="黑体" w:cs="宋体" w:hint="eastAsia"/>
          <w:color w:val="333333"/>
          <w:kern w:val="0"/>
          <w:sz w:val="27"/>
          <w:szCs w:val="27"/>
          <w:bdr w:val="none" w:sz="0" w:space="0" w:color="auto" w:frame="1"/>
        </w:rPr>
        <w:t>二、主动公开政府信息情况</w:t>
      </w:r>
    </w:p>
    <w:tbl>
      <w:tblPr>
        <w:tblW w:w="8490" w:type="dxa"/>
        <w:shd w:val="clear" w:color="auto" w:fill="FFFFFF"/>
        <w:tblCellMar>
          <w:left w:w="0" w:type="dxa"/>
          <w:right w:w="0" w:type="dxa"/>
        </w:tblCellMar>
        <w:tblLook w:val="04A0" w:firstRow="1" w:lastRow="0" w:firstColumn="1" w:lastColumn="0" w:noHBand="0" w:noVBand="1"/>
      </w:tblPr>
      <w:tblGrid>
        <w:gridCol w:w="1710"/>
        <w:gridCol w:w="2460"/>
        <w:gridCol w:w="2025"/>
        <w:gridCol w:w="2295"/>
      </w:tblGrid>
      <w:tr w:rsidR="008F7C16" w:rsidRPr="008F7C16" w14:paraId="28FC770C" w14:textId="77777777" w:rsidTr="008F7C16">
        <w:tc>
          <w:tcPr>
            <w:tcW w:w="849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3C072AF"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第二十条第（一）项</w:t>
            </w:r>
          </w:p>
        </w:tc>
      </w:tr>
      <w:tr w:rsidR="008F7C16" w:rsidRPr="008F7C16" w14:paraId="595090F6"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86FC82B"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信息内容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35F1E64"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本年新制作数量</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31DDD70"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本年新公开数量</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BC4D5F2"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对外公开总数量</w:t>
            </w:r>
          </w:p>
        </w:tc>
      </w:tr>
      <w:tr w:rsidR="008F7C16" w:rsidRPr="008F7C16" w14:paraId="0EA9043F"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2D6045D"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proofErr w:type="gramStart"/>
            <w:r w:rsidRPr="008F7C16">
              <w:rPr>
                <w:rFonts w:ascii="宋体" w:eastAsia="宋体" w:hAnsi="宋体" w:cs="宋体" w:hint="eastAsia"/>
                <w:color w:val="333333"/>
                <w:kern w:val="0"/>
                <w:sz w:val="20"/>
                <w:szCs w:val="20"/>
                <w:bdr w:val="none" w:sz="0" w:space="0" w:color="auto" w:frame="1"/>
              </w:rPr>
              <w:t>规</w:t>
            </w:r>
            <w:proofErr w:type="gramEnd"/>
            <w:r w:rsidRPr="008F7C16">
              <w:rPr>
                <w:rFonts w:ascii="宋体" w:eastAsia="宋体" w:hAnsi="宋体" w:cs="宋体" w:hint="eastAsia"/>
                <w:color w:val="333333"/>
                <w:kern w:val="0"/>
                <w:sz w:val="20"/>
                <w:szCs w:val="20"/>
                <w:bdr w:val="none" w:sz="0" w:space="0" w:color="auto" w:frame="1"/>
              </w:rPr>
              <w:t>    章</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77212D7"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E499EA6"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957F6F0"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70307DE6"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5149B10"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规范性文件</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28D74CE"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7C6BAF6"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DFF24B7"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2A8A59F4" w14:textId="77777777" w:rsidTr="008F7C16">
        <w:tc>
          <w:tcPr>
            <w:tcW w:w="849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F5AD42C"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第二十条第（五）项</w:t>
            </w:r>
          </w:p>
        </w:tc>
      </w:tr>
      <w:tr w:rsidR="008F7C16" w:rsidRPr="008F7C16" w14:paraId="61E2C426"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8A9A170"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信息内容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EA2F737"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上一年项目数量</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CF2D54C"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本年增/减</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AED6FB1"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处理决定数量</w:t>
            </w:r>
          </w:p>
        </w:tc>
      </w:tr>
      <w:tr w:rsidR="008F7C16" w:rsidRPr="008F7C16" w14:paraId="10EF9119"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38BC064"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行政许可</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360AD52"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EE5F955"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79B03D9"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1532B485"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19E29E6"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其他对外管理服务事项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BBA30C6"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0EDFC0F"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4EBCD5F"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2CF2962E" w14:textId="77777777" w:rsidTr="008F7C16">
        <w:tc>
          <w:tcPr>
            <w:tcW w:w="849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544014C"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第二十条第（六）项</w:t>
            </w:r>
          </w:p>
        </w:tc>
      </w:tr>
      <w:tr w:rsidR="008F7C16" w:rsidRPr="008F7C16" w14:paraId="31C67FCE"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17826D1"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信息内容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9762467"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上一年项目数量</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45F3C4A"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本年增/减</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498B78D"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处理决定数量</w:t>
            </w:r>
          </w:p>
        </w:tc>
      </w:tr>
      <w:tr w:rsidR="008F7C16" w:rsidRPr="008F7C16" w14:paraId="4398FBA8"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721C4AC"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行政处罚</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582D539"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7</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73AC446"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4887FBB"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1AAE1A33"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EFB23E3"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行政强制</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39C9CB8"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0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A353635"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22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66D504B"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5B8755F4" w14:textId="77777777" w:rsidTr="008F7C16">
        <w:tc>
          <w:tcPr>
            <w:tcW w:w="849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42FDEE9"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第二十条第（八）项</w:t>
            </w:r>
          </w:p>
        </w:tc>
      </w:tr>
      <w:tr w:rsidR="008F7C16" w:rsidRPr="008F7C16" w14:paraId="6B167EB2"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1F94C27"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信息内容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EB5E32"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上一年项目数量</w:t>
            </w:r>
          </w:p>
        </w:tc>
        <w:tc>
          <w:tcPr>
            <w:tcW w:w="432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7895889"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本年增/减</w:t>
            </w:r>
          </w:p>
        </w:tc>
      </w:tr>
      <w:tr w:rsidR="008F7C16" w:rsidRPr="008F7C16" w14:paraId="7300B501"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907677A"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行政事业性收费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C19940E"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3</w:t>
            </w:r>
          </w:p>
        </w:tc>
        <w:tc>
          <w:tcPr>
            <w:tcW w:w="432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C51A3AB"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3C69721E" w14:textId="77777777" w:rsidTr="008F7C16">
        <w:tc>
          <w:tcPr>
            <w:tcW w:w="8490"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D2CD80D"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第二十条第（九）项</w:t>
            </w:r>
          </w:p>
        </w:tc>
      </w:tr>
      <w:tr w:rsidR="008F7C16" w:rsidRPr="008F7C16" w14:paraId="682708CF"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44BCB6E"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信息内容</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AC80F54"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采购项目数量</w:t>
            </w:r>
          </w:p>
        </w:tc>
        <w:tc>
          <w:tcPr>
            <w:tcW w:w="432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800F796"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proofErr w:type="gramStart"/>
            <w:r w:rsidRPr="008F7C16">
              <w:rPr>
                <w:rFonts w:ascii="宋体" w:eastAsia="宋体" w:hAnsi="宋体" w:cs="宋体" w:hint="eastAsia"/>
                <w:color w:val="333333"/>
                <w:kern w:val="0"/>
                <w:sz w:val="20"/>
                <w:szCs w:val="20"/>
                <w:bdr w:val="none" w:sz="0" w:space="0" w:color="auto" w:frame="1"/>
              </w:rPr>
              <w:t>采购总</w:t>
            </w:r>
            <w:proofErr w:type="gramEnd"/>
            <w:r w:rsidRPr="008F7C16">
              <w:rPr>
                <w:rFonts w:ascii="宋体" w:eastAsia="宋体" w:hAnsi="宋体" w:cs="宋体" w:hint="eastAsia"/>
                <w:color w:val="333333"/>
                <w:kern w:val="0"/>
                <w:sz w:val="20"/>
                <w:szCs w:val="20"/>
                <w:bdr w:val="none" w:sz="0" w:space="0" w:color="auto" w:frame="1"/>
              </w:rPr>
              <w:t>金额</w:t>
            </w:r>
          </w:p>
        </w:tc>
      </w:tr>
      <w:tr w:rsidR="008F7C16" w:rsidRPr="008F7C16" w14:paraId="2BD9D4FE" w14:textId="77777777" w:rsidTr="008F7C16">
        <w:tc>
          <w:tcPr>
            <w:tcW w:w="171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C89ECCD"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lastRenderedPageBreak/>
              <w:t>政府集中采购</w:t>
            </w:r>
          </w:p>
        </w:tc>
        <w:tc>
          <w:tcPr>
            <w:tcW w:w="24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24E5B21"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14</w:t>
            </w:r>
          </w:p>
        </w:tc>
        <w:tc>
          <w:tcPr>
            <w:tcW w:w="432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30AAE9E" w14:textId="77777777" w:rsidR="008F7C16" w:rsidRPr="008F7C16" w:rsidRDefault="008F7C16" w:rsidP="008F7C16">
            <w:pPr>
              <w:widowControl/>
              <w:spacing w:line="465"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833.87167万元</w:t>
            </w:r>
          </w:p>
        </w:tc>
      </w:tr>
    </w:tbl>
    <w:p w14:paraId="5ECCD5D6" w14:textId="77777777" w:rsidR="008F7C16" w:rsidRPr="008F7C16" w:rsidRDefault="008F7C16" w:rsidP="008F7C16">
      <w:pPr>
        <w:widowControl/>
        <w:shd w:val="clear" w:color="auto" w:fill="FFFFFF"/>
        <w:spacing w:line="540" w:lineRule="atLeast"/>
        <w:rPr>
          <w:rFonts w:ascii="微软雅黑" w:eastAsia="微软雅黑" w:hAnsi="微软雅黑" w:cs="宋体" w:hint="eastAsia"/>
          <w:color w:val="333333"/>
          <w:kern w:val="0"/>
          <w:sz w:val="26"/>
          <w:szCs w:val="26"/>
        </w:rPr>
      </w:pPr>
      <w:r w:rsidRPr="008F7C16">
        <w:rPr>
          <w:rFonts w:ascii="仿宋_GB2312" w:eastAsia="仿宋_GB2312" w:hAnsi="微软雅黑" w:cs="宋体" w:hint="eastAsia"/>
          <w:b/>
          <w:bCs/>
          <w:color w:val="333333"/>
          <w:kern w:val="0"/>
          <w:sz w:val="27"/>
          <w:szCs w:val="27"/>
          <w:bdr w:val="none" w:sz="0" w:space="0" w:color="auto" w:frame="1"/>
        </w:rPr>
        <w:t> </w:t>
      </w:r>
    </w:p>
    <w:p w14:paraId="73344A1B" w14:textId="77777777" w:rsidR="008F7C16" w:rsidRPr="008F7C16" w:rsidRDefault="008F7C16" w:rsidP="008F7C16">
      <w:pPr>
        <w:widowControl/>
        <w:shd w:val="clear" w:color="auto" w:fill="FFFFFF"/>
        <w:spacing w:line="540" w:lineRule="atLeast"/>
        <w:rPr>
          <w:rFonts w:ascii="微软雅黑" w:eastAsia="微软雅黑" w:hAnsi="微软雅黑" w:cs="宋体" w:hint="eastAsia"/>
          <w:color w:val="333333"/>
          <w:kern w:val="0"/>
          <w:sz w:val="26"/>
          <w:szCs w:val="26"/>
        </w:rPr>
      </w:pPr>
      <w:r w:rsidRPr="008F7C16">
        <w:rPr>
          <w:rFonts w:ascii="黑体" w:eastAsia="黑体" w:hAnsi="黑体" w:cs="宋体" w:hint="eastAsia"/>
          <w:color w:val="333333"/>
          <w:kern w:val="0"/>
          <w:sz w:val="27"/>
          <w:szCs w:val="27"/>
          <w:bdr w:val="none" w:sz="0" w:space="0" w:color="auto" w:frame="1"/>
        </w:rPr>
        <w:t>三、收到和处理政府信息公开申请情况</w:t>
      </w:r>
    </w:p>
    <w:tbl>
      <w:tblPr>
        <w:tblW w:w="0" w:type="auto"/>
        <w:shd w:val="clear" w:color="auto" w:fill="FFFFFF"/>
        <w:tblCellMar>
          <w:left w:w="0" w:type="dxa"/>
          <w:right w:w="0" w:type="dxa"/>
        </w:tblCellMar>
        <w:tblLook w:val="04A0" w:firstRow="1" w:lastRow="0" w:firstColumn="1" w:lastColumn="0" w:noHBand="0" w:noVBand="1"/>
      </w:tblPr>
      <w:tblGrid>
        <w:gridCol w:w="1039"/>
        <w:gridCol w:w="1077"/>
        <w:gridCol w:w="1707"/>
        <w:gridCol w:w="552"/>
        <w:gridCol w:w="691"/>
        <w:gridCol w:w="600"/>
        <w:gridCol w:w="819"/>
        <w:gridCol w:w="825"/>
        <w:gridCol w:w="410"/>
        <w:gridCol w:w="570"/>
      </w:tblGrid>
      <w:tr w:rsidR="008F7C16" w:rsidRPr="008F7C16" w14:paraId="2002ABB1" w14:textId="77777777" w:rsidTr="008F7C16">
        <w:tc>
          <w:tcPr>
            <w:tcW w:w="42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80BE61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（本列数据的勾</w:t>
            </w:r>
            <w:proofErr w:type="gramStart"/>
            <w:r w:rsidRPr="008F7C16">
              <w:rPr>
                <w:rFonts w:ascii="宋体" w:eastAsia="宋体" w:hAnsi="宋体" w:cs="宋体" w:hint="eastAsia"/>
                <w:color w:val="333333"/>
                <w:kern w:val="0"/>
                <w:sz w:val="20"/>
                <w:szCs w:val="20"/>
                <w:bdr w:val="none" w:sz="0" w:space="0" w:color="auto" w:frame="1"/>
              </w:rPr>
              <w:t>稽</w:t>
            </w:r>
            <w:proofErr w:type="gramEnd"/>
            <w:r w:rsidRPr="008F7C16">
              <w:rPr>
                <w:rFonts w:ascii="宋体" w:eastAsia="宋体" w:hAnsi="宋体" w:cs="宋体" w:hint="eastAsia"/>
                <w:color w:val="333333"/>
                <w:kern w:val="0"/>
                <w:sz w:val="20"/>
                <w:szCs w:val="20"/>
                <w:bdr w:val="none" w:sz="0" w:space="0" w:color="auto" w:frame="1"/>
              </w:rPr>
              <w:t>关系为：第一项加第二项之和，等于第三项加第四项之和）</w:t>
            </w:r>
          </w:p>
        </w:tc>
        <w:tc>
          <w:tcPr>
            <w:tcW w:w="4695" w:type="dxa"/>
            <w:gridSpan w:val="7"/>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B86088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申请人情况</w:t>
            </w:r>
          </w:p>
        </w:tc>
      </w:tr>
      <w:tr w:rsidR="008F7C16" w:rsidRPr="008F7C16" w14:paraId="7D47EC8D" w14:textId="77777777" w:rsidTr="008F7C16">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16E0F" w14:textId="77777777" w:rsidR="008F7C16" w:rsidRPr="008F7C16" w:rsidRDefault="008F7C16" w:rsidP="008F7C16">
            <w:pPr>
              <w:widowControl/>
              <w:rPr>
                <w:rFonts w:ascii="微软雅黑" w:eastAsia="微软雅黑" w:hAnsi="微软雅黑" w:cs="宋体"/>
                <w:color w:val="333333"/>
                <w:kern w:val="0"/>
                <w:sz w:val="26"/>
                <w:szCs w:val="26"/>
              </w:rPr>
            </w:pPr>
          </w:p>
        </w:tc>
        <w:tc>
          <w:tcPr>
            <w:tcW w:w="58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67F73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自</w:t>
            </w:r>
          </w:p>
          <w:p w14:paraId="1884A51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然人</w:t>
            </w:r>
          </w:p>
        </w:tc>
        <w:tc>
          <w:tcPr>
            <w:tcW w:w="3525"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3BD6926"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法人或其他组织</w:t>
            </w:r>
          </w:p>
        </w:tc>
        <w:tc>
          <w:tcPr>
            <w:tcW w:w="58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477A6D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总计</w:t>
            </w:r>
          </w:p>
        </w:tc>
      </w:tr>
      <w:tr w:rsidR="008F7C16" w:rsidRPr="008F7C16" w14:paraId="2A382B8E" w14:textId="77777777" w:rsidTr="008F7C16">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ADFBF"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12768C6A" w14:textId="77777777" w:rsidR="008F7C16" w:rsidRPr="008F7C16" w:rsidRDefault="008F7C16" w:rsidP="008F7C16">
            <w:pPr>
              <w:widowControl/>
              <w:rPr>
                <w:rFonts w:ascii="微软雅黑" w:eastAsia="微软雅黑" w:hAnsi="微软雅黑" w:cs="宋体"/>
                <w:color w:val="333333"/>
                <w:kern w:val="0"/>
                <w:sz w:val="26"/>
                <w:szCs w:val="26"/>
              </w:rPr>
            </w:pP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8F572C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商业企业</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B4240C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科研机构</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7BCA48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社会公益组织</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B00C7C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法律服务机构</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FC027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其他</w:t>
            </w:r>
          </w:p>
        </w:tc>
        <w:tc>
          <w:tcPr>
            <w:tcW w:w="0" w:type="auto"/>
            <w:vMerge/>
            <w:tcBorders>
              <w:top w:val="nil"/>
              <w:left w:val="nil"/>
              <w:bottom w:val="single" w:sz="6" w:space="0" w:color="000000"/>
              <w:right w:val="single" w:sz="6" w:space="0" w:color="000000"/>
            </w:tcBorders>
            <w:shd w:val="clear" w:color="auto" w:fill="FFFFFF"/>
            <w:vAlign w:val="center"/>
            <w:hideMark/>
          </w:tcPr>
          <w:p w14:paraId="59F86B45" w14:textId="77777777" w:rsidR="008F7C16" w:rsidRPr="008F7C16" w:rsidRDefault="008F7C16" w:rsidP="008F7C16">
            <w:pPr>
              <w:widowControl/>
              <w:rPr>
                <w:rFonts w:ascii="微软雅黑" w:eastAsia="微软雅黑" w:hAnsi="微软雅黑" w:cs="宋体"/>
                <w:color w:val="333333"/>
                <w:kern w:val="0"/>
                <w:sz w:val="26"/>
                <w:szCs w:val="26"/>
              </w:rPr>
            </w:pPr>
          </w:p>
        </w:tc>
      </w:tr>
      <w:tr w:rsidR="008F7C16" w:rsidRPr="008F7C16" w14:paraId="09B99463" w14:textId="77777777" w:rsidTr="008F7C16">
        <w:tc>
          <w:tcPr>
            <w:tcW w:w="4245"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EBB93B"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一、本年新收政府信息公开申请数量</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92DF3A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EA65F4"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56124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077F44"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4AA0EE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B0A540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47C0B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221F802C" w14:textId="77777777" w:rsidTr="008F7C16">
        <w:tc>
          <w:tcPr>
            <w:tcW w:w="4245"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F7E5443"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二、上年结转政府信息公开申请数量</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C734DF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826BA6"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C68894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668D8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506B1B"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629B65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944DEA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5858549F" w14:textId="77777777" w:rsidTr="008F7C16">
        <w:tc>
          <w:tcPr>
            <w:tcW w:w="114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84CBF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三、本年度办理结果</w:t>
            </w:r>
          </w:p>
        </w:tc>
        <w:tc>
          <w:tcPr>
            <w:tcW w:w="310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A925EA2"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（一）予以公开</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C454FC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11965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C0C79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B6CD9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CFA07D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F0C028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CA923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48DD8A56"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FB32F47" w14:textId="77777777" w:rsidR="008F7C16" w:rsidRPr="008F7C16" w:rsidRDefault="008F7C16" w:rsidP="008F7C16">
            <w:pPr>
              <w:widowControl/>
              <w:rPr>
                <w:rFonts w:ascii="微软雅黑" w:eastAsia="微软雅黑" w:hAnsi="微软雅黑" w:cs="宋体"/>
                <w:color w:val="333333"/>
                <w:kern w:val="0"/>
                <w:sz w:val="26"/>
                <w:szCs w:val="26"/>
              </w:rPr>
            </w:pPr>
          </w:p>
        </w:tc>
        <w:tc>
          <w:tcPr>
            <w:tcW w:w="310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2996A1"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（二）部分公开（区分处理的，只计这一情形，不计其他情形）</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E845E2D"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71DCD5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D5AAEF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F7DE7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1EBB9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00EB44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277C70"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3CCC82BE" w14:textId="77777777" w:rsidTr="008F7C16">
        <w:trPr>
          <w:trHeight w:val="52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610E12D" w14:textId="77777777" w:rsidR="008F7C16" w:rsidRPr="008F7C16" w:rsidRDefault="008F7C16" w:rsidP="008F7C16">
            <w:pPr>
              <w:widowControl/>
              <w:rPr>
                <w:rFonts w:ascii="微软雅黑" w:eastAsia="微软雅黑" w:hAnsi="微软雅黑" w:cs="宋体"/>
                <w:color w:val="333333"/>
                <w:kern w:val="0"/>
                <w:sz w:val="26"/>
                <w:szCs w:val="26"/>
              </w:rPr>
            </w:pPr>
          </w:p>
        </w:tc>
        <w:tc>
          <w:tcPr>
            <w:tcW w:w="114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9B76AF"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（三）不予公开</w:t>
            </w: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724CA73"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1.属于国家秘密</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977846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9204F6B"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93A57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63EDDA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4C953C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AA122D0"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C14DA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05AB5EC3"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CC077A9"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EBB508E"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0E4057"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2.其他法律行政法规禁止公开</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4C6FA8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8624B3" w14:textId="77777777" w:rsidR="008F7C16" w:rsidRPr="008F7C16" w:rsidRDefault="008F7C16" w:rsidP="008F7C16">
            <w:pPr>
              <w:widowControl/>
              <w:spacing w:beforeAutospacing="1" w:afterAutospacing="1"/>
              <w:ind w:firstLine="195"/>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3ACA1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B67669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8D6817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831CCA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98530BB"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66446F9B"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A5F16D0"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CFAF756"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2EF8CE9"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3.危及“三安全</w:t>
            </w:r>
            <w:proofErr w:type="gramStart"/>
            <w:r w:rsidRPr="008F7C16">
              <w:rPr>
                <w:rFonts w:ascii="宋体" w:eastAsia="宋体" w:hAnsi="宋体" w:cs="宋体" w:hint="eastAsia"/>
                <w:color w:val="333333"/>
                <w:kern w:val="0"/>
                <w:sz w:val="20"/>
                <w:szCs w:val="20"/>
                <w:bdr w:val="none" w:sz="0" w:space="0" w:color="auto" w:frame="1"/>
              </w:rPr>
              <w:t>一</w:t>
            </w:r>
            <w:proofErr w:type="gramEnd"/>
            <w:r w:rsidRPr="008F7C16">
              <w:rPr>
                <w:rFonts w:ascii="宋体" w:eastAsia="宋体" w:hAnsi="宋体" w:cs="宋体" w:hint="eastAsia"/>
                <w:color w:val="333333"/>
                <w:kern w:val="0"/>
                <w:sz w:val="20"/>
                <w:szCs w:val="20"/>
                <w:bdr w:val="none" w:sz="0" w:space="0" w:color="auto" w:frame="1"/>
              </w:rPr>
              <w:t>稳定”</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FDAB5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A353F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D9146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6EFAB6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903FF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F1B95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760590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01020FFA"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A7A7622"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7712D49C"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7351D8"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4.保护第三方合法权益</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B1797F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2DF06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6C0A5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FD66A0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FAF6484"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6AFF61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80BDE6"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5D6689AE"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72BA11E"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FD0D7AF"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9EF4D6F"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5.属于三类内部事务信息</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7A74B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DC5EB4"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2A118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5EE744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EFAFA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321D5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9C689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102FE893"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1BCCF92"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373FB72"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81EB01"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6.属于四类过程性信息</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214DB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B05DB1"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B07504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9E983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9435912" w14:textId="77777777" w:rsidR="008F7C16" w:rsidRPr="008F7C16" w:rsidRDefault="008F7C16" w:rsidP="008F7C16">
            <w:pPr>
              <w:widowControl/>
              <w:spacing w:beforeAutospacing="1" w:afterAutospacing="1"/>
              <w:ind w:firstLine="195"/>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BCB32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3187B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715602F4" w14:textId="77777777" w:rsidTr="008F7C16">
        <w:trPr>
          <w:trHeight w:val="48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8F9FD43"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4975AD1C"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7EE6BC"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7.属于行政执法案卷</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96692C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F1A16B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6E6415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A64D4A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93E2FC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1BBD8E9"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7D208A"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37987AC2"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BBC4D05"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1E36E64"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0EC74D"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8.属于行政查询事项</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B0087B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E62B6B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09734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979BD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41900B"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E3FDE26"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3A1DD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4FC749EE"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FAA2549" w14:textId="77777777" w:rsidR="008F7C16" w:rsidRPr="008F7C16" w:rsidRDefault="008F7C16" w:rsidP="008F7C16">
            <w:pPr>
              <w:widowControl/>
              <w:rPr>
                <w:rFonts w:ascii="微软雅黑" w:eastAsia="微软雅黑" w:hAnsi="微软雅黑" w:cs="宋体"/>
                <w:color w:val="333333"/>
                <w:kern w:val="0"/>
                <w:sz w:val="26"/>
                <w:szCs w:val="26"/>
              </w:rPr>
            </w:pPr>
          </w:p>
        </w:tc>
        <w:tc>
          <w:tcPr>
            <w:tcW w:w="114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D65664A"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（四）无法提供</w:t>
            </w: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6121FFD"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1.本机关不掌握相关政府信息</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621788"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E2DA874"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A4412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0638AC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5CF841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50BBFC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EC9D39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560B34A7"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B6C15E4"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6C908AEA"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02E30F7"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2.没有现成信息需要另行制作</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19343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F6176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ED7DD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01762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1E6FDD"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B645E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9A3A55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4787A393"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6EFC509"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7669FFE"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14B62D"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3.补正后申请内容仍不明确</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9DD38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1C9EE7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CF0DA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44B63D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B42BE9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95C41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E90E3F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127265F9"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99B14A5" w14:textId="77777777" w:rsidR="008F7C16" w:rsidRPr="008F7C16" w:rsidRDefault="008F7C16" w:rsidP="008F7C16">
            <w:pPr>
              <w:widowControl/>
              <w:rPr>
                <w:rFonts w:ascii="微软雅黑" w:eastAsia="微软雅黑" w:hAnsi="微软雅黑" w:cs="宋体"/>
                <w:color w:val="333333"/>
                <w:kern w:val="0"/>
                <w:sz w:val="26"/>
                <w:szCs w:val="26"/>
              </w:rPr>
            </w:pPr>
          </w:p>
        </w:tc>
        <w:tc>
          <w:tcPr>
            <w:tcW w:w="114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73DA68"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（五）</w:t>
            </w:r>
            <w:proofErr w:type="gramStart"/>
            <w:r w:rsidRPr="008F7C16">
              <w:rPr>
                <w:rFonts w:ascii="宋体" w:eastAsia="宋体" w:hAnsi="宋体" w:cs="宋体" w:hint="eastAsia"/>
                <w:color w:val="333333"/>
                <w:kern w:val="0"/>
                <w:sz w:val="20"/>
                <w:szCs w:val="20"/>
                <w:bdr w:val="none" w:sz="0" w:space="0" w:color="auto" w:frame="1"/>
              </w:rPr>
              <w:t>不予处理</w:t>
            </w:r>
            <w:proofErr w:type="gramEnd"/>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08E80CE"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1.信访举报投诉类申请</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F01B14"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4BA99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CB662E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BFCBEE3"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A33E02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32C3D1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331A42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5982B502"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9BECF15"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81B395D"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746B5F"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2.重复申请</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847D30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677CA9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CA4309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1E9D97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349842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6607E2D"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D5574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01BD10C0"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666E2C6"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4167FA0"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E2AF1B8"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3.要求提供公开出版物</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087FC7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BECDB7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8AC183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2A6BAB"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71700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DE3FF4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EC54A3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0EFBABB9"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4D385763"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057D4F4E"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35821C1"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4.无正当理由大量反复申请</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13A85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2E6A3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7ADEB4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27726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5BFBE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DBD91D"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624DB3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4F9E5A52"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7F795A5"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034D90C" w14:textId="77777777" w:rsidR="008F7C16" w:rsidRPr="008F7C16" w:rsidRDefault="008F7C16" w:rsidP="008F7C16">
            <w:pPr>
              <w:widowControl/>
              <w:rPr>
                <w:rFonts w:ascii="微软雅黑" w:eastAsia="微软雅黑" w:hAnsi="微软雅黑" w:cs="宋体"/>
                <w:color w:val="333333"/>
                <w:kern w:val="0"/>
                <w:sz w:val="26"/>
                <w:szCs w:val="26"/>
              </w:rPr>
            </w:pPr>
          </w:p>
        </w:tc>
        <w:tc>
          <w:tcPr>
            <w:tcW w:w="196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776FBC"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5.要求行政机关确认或重新出具已获取信息</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F0658F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90A5A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2F8C92"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C30B0E0"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FE7A8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7AFA8A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8E68C3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533C9293"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8FBE00C" w14:textId="77777777" w:rsidR="008F7C16" w:rsidRPr="008F7C16" w:rsidRDefault="008F7C16" w:rsidP="008F7C16">
            <w:pPr>
              <w:widowControl/>
              <w:rPr>
                <w:rFonts w:ascii="微软雅黑" w:eastAsia="微软雅黑" w:hAnsi="微软雅黑" w:cs="宋体"/>
                <w:color w:val="333333"/>
                <w:kern w:val="0"/>
                <w:sz w:val="26"/>
                <w:szCs w:val="26"/>
              </w:rPr>
            </w:pPr>
          </w:p>
        </w:tc>
        <w:tc>
          <w:tcPr>
            <w:tcW w:w="310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CEE12F"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（六）其他处理</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8A1A416"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20BBE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ED66E6D"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574B0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6E70A8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8B26CC"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5C2677"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46230EEF"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55CFE83E" w14:textId="77777777" w:rsidR="008F7C16" w:rsidRPr="008F7C16" w:rsidRDefault="008F7C16" w:rsidP="008F7C16">
            <w:pPr>
              <w:widowControl/>
              <w:rPr>
                <w:rFonts w:ascii="微软雅黑" w:eastAsia="微软雅黑" w:hAnsi="微软雅黑" w:cs="宋体"/>
                <w:color w:val="333333"/>
                <w:kern w:val="0"/>
                <w:sz w:val="26"/>
                <w:szCs w:val="26"/>
              </w:rPr>
            </w:pPr>
          </w:p>
        </w:tc>
        <w:tc>
          <w:tcPr>
            <w:tcW w:w="310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40D805F"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（七）总计</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5027AEE"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B32BBB3"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457A78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C3D125"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3B5B1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23969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0541E8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r w:rsidR="008F7C16" w:rsidRPr="008F7C16" w14:paraId="7729CFF5" w14:textId="77777777" w:rsidTr="008F7C16">
        <w:tc>
          <w:tcPr>
            <w:tcW w:w="4245"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A00B905" w14:textId="77777777" w:rsidR="008F7C16" w:rsidRPr="008F7C16" w:rsidRDefault="008F7C16" w:rsidP="008F7C16">
            <w:pPr>
              <w:widowControl/>
              <w:spacing w:beforeAutospacing="1" w:afterAutospacing="1"/>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四、结转下年度继续办理</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8C6D8A0"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7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F712381"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6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26BDA3D"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1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EA02FDA"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90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25881EF"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3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87D6919" w14:textId="77777777" w:rsidR="008F7C16" w:rsidRPr="008F7C16" w:rsidRDefault="008F7C16" w:rsidP="008F7C16">
            <w:pPr>
              <w:widowControl/>
              <w:spacing w:beforeAutospacing="1" w:afterAutospacing="1"/>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E358B32" w14:textId="77777777" w:rsidR="008F7C16" w:rsidRPr="008F7C16" w:rsidRDefault="008F7C16" w:rsidP="008F7C16">
            <w:pPr>
              <w:widowControl/>
              <w:spacing w:beforeAutospacing="1" w:afterAutospacing="1"/>
              <w:ind w:firstLine="195"/>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bl>
    <w:p w14:paraId="1A1BDF32" w14:textId="77777777" w:rsidR="008F7C16" w:rsidRPr="008F7C16" w:rsidRDefault="008F7C16" w:rsidP="008F7C16">
      <w:pPr>
        <w:widowControl/>
        <w:shd w:val="clear" w:color="auto" w:fill="FFFFFF"/>
        <w:spacing w:line="540" w:lineRule="atLeast"/>
        <w:rPr>
          <w:rFonts w:ascii="微软雅黑" w:eastAsia="微软雅黑" w:hAnsi="微软雅黑" w:cs="宋体" w:hint="eastAsia"/>
          <w:color w:val="333333"/>
          <w:kern w:val="0"/>
          <w:sz w:val="26"/>
          <w:szCs w:val="26"/>
        </w:rPr>
      </w:pPr>
      <w:r w:rsidRPr="008F7C16">
        <w:rPr>
          <w:rFonts w:ascii="Calibri" w:eastAsia="仿宋" w:hAnsi="Calibri" w:cs="Calibri"/>
          <w:color w:val="333333"/>
          <w:kern w:val="0"/>
          <w:sz w:val="27"/>
          <w:szCs w:val="27"/>
          <w:bdr w:val="none" w:sz="0" w:space="0" w:color="auto" w:frame="1"/>
        </w:rPr>
        <w:t> </w:t>
      </w:r>
    </w:p>
    <w:p w14:paraId="3A4E37F0" w14:textId="77777777" w:rsidR="008F7C16" w:rsidRPr="008F7C16" w:rsidRDefault="008F7C16" w:rsidP="008F7C16">
      <w:pPr>
        <w:widowControl/>
        <w:shd w:val="clear" w:color="auto" w:fill="FFFFFF"/>
        <w:rPr>
          <w:rFonts w:ascii="微软雅黑" w:eastAsia="微软雅黑" w:hAnsi="微软雅黑" w:cs="宋体" w:hint="eastAsia"/>
          <w:color w:val="333333"/>
          <w:kern w:val="0"/>
          <w:sz w:val="26"/>
          <w:szCs w:val="26"/>
        </w:rPr>
      </w:pPr>
      <w:r w:rsidRPr="008F7C16">
        <w:rPr>
          <w:rFonts w:ascii="黑体" w:eastAsia="黑体" w:hAnsi="黑体" w:cs="宋体" w:hint="eastAsia"/>
          <w:color w:val="333333"/>
          <w:kern w:val="0"/>
          <w:sz w:val="27"/>
          <w:szCs w:val="27"/>
          <w:bdr w:val="none" w:sz="0" w:space="0" w:color="auto" w:frame="1"/>
        </w:rPr>
        <w:t>四、政府信息公开行政复议、行政诉讼情况</w:t>
      </w:r>
    </w:p>
    <w:tbl>
      <w:tblPr>
        <w:tblW w:w="8520" w:type="dxa"/>
        <w:shd w:val="clear" w:color="auto" w:fill="FFFFFF"/>
        <w:tblCellMar>
          <w:left w:w="0" w:type="dxa"/>
          <w:right w:w="0" w:type="dxa"/>
        </w:tblCellMar>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tblGrid>
      <w:tr w:rsidR="008F7C16" w:rsidRPr="008F7C16" w14:paraId="371E2BBA" w14:textId="77777777" w:rsidTr="008F7C16">
        <w:tc>
          <w:tcPr>
            <w:tcW w:w="283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5C4C38F"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行政复议</w:t>
            </w:r>
            <w:r w:rsidRPr="008F7C16">
              <w:rPr>
                <w:rFonts w:ascii="宋体" w:eastAsia="宋体" w:hAnsi="宋体" w:cs="宋体" w:hint="eastAsia"/>
                <w:color w:val="333333"/>
                <w:kern w:val="0"/>
                <w:sz w:val="20"/>
                <w:szCs w:val="20"/>
                <w:bdr w:val="none" w:sz="0" w:space="0" w:color="auto" w:frame="1"/>
              </w:rPr>
              <w:br/>
              <w:t>（因政府信息公开被行政复议）</w:t>
            </w:r>
          </w:p>
        </w:tc>
        <w:tc>
          <w:tcPr>
            <w:tcW w:w="5685" w:type="dxa"/>
            <w:gridSpan w:val="10"/>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88F28D4"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行政诉讼</w:t>
            </w:r>
            <w:r w:rsidRPr="008F7C16">
              <w:rPr>
                <w:rFonts w:ascii="宋体" w:eastAsia="宋体" w:hAnsi="宋体" w:cs="宋体" w:hint="eastAsia"/>
                <w:color w:val="333333"/>
                <w:kern w:val="0"/>
                <w:sz w:val="20"/>
                <w:szCs w:val="20"/>
                <w:bdr w:val="none" w:sz="0" w:space="0" w:color="auto" w:frame="1"/>
              </w:rPr>
              <w:br/>
              <w:t>（因政府信息公开被行政诉讼）</w:t>
            </w:r>
          </w:p>
        </w:tc>
      </w:tr>
      <w:tr w:rsidR="008F7C16" w:rsidRPr="008F7C16" w14:paraId="3F8914C2" w14:textId="77777777" w:rsidTr="008F7C16">
        <w:tc>
          <w:tcPr>
            <w:tcW w:w="57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B8048D4"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结果维护</w:t>
            </w:r>
          </w:p>
        </w:tc>
        <w:tc>
          <w:tcPr>
            <w:tcW w:w="57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376A0B8"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结果纠正</w:t>
            </w:r>
          </w:p>
        </w:tc>
        <w:tc>
          <w:tcPr>
            <w:tcW w:w="57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900730F"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其他结果</w:t>
            </w:r>
          </w:p>
        </w:tc>
        <w:tc>
          <w:tcPr>
            <w:tcW w:w="57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14AD37A"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尚未审结</w:t>
            </w:r>
          </w:p>
        </w:tc>
        <w:tc>
          <w:tcPr>
            <w:tcW w:w="57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E9FBEAB"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总计</w:t>
            </w:r>
          </w:p>
        </w:tc>
        <w:tc>
          <w:tcPr>
            <w:tcW w:w="2835"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628DAD"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未经复议直接起诉</w:t>
            </w:r>
          </w:p>
        </w:tc>
        <w:tc>
          <w:tcPr>
            <w:tcW w:w="2835" w:type="dxa"/>
            <w:gridSpan w:val="5"/>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CE1DA86"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复议后起诉</w:t>
            </w:r>
          </w:p>
        </w:tc>
      </w:tr>
      <w:tr w:rsidR="008F7C16" w:rsidRPr="008F7C16" w14:paraId="5811FB6D" w14:textId="77777777" w:rsidTr="008F7C16">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08EE1FC3"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324521AE"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2129DFA3"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E75385F" w14:textId="77777777" w:rsidR="008F7C16" w:rsidRPr="008F7C16" w:rsidRDefault="008F7C16" w:rsidP="008F7C16">
            <w:pPr>
              <w:widowControl/>
              <w:rPr>
                <w:rFonts w:ascii="微软雅黑" w:eastAsia="微软雅黑" w:hAnsi="微软雅黑" w:cs="宋体"/>
                <w:color w:val="333333"/>
                <w:kern w:val="0"/>
                <w:sz w:val="26"/>
                <w:szCs w:val="26"/>
              </w:rPr>
            </w:pPr>
          </w:p>
        </w:tc>
        <w:tc>
          <w:tcPr>
            <w:tcW w:w="0" w:type="auto"/>
            <w:vMerge/>
            <w:tcBorders>
              <w:top w:val="nil"/>
              <w:left w:val="nil"/>
              <w:bottom w:val="single" w:sz="6" w:space="0" w:color="000000"/>
              <w:right w:val="single" w:sz="6" w:space="0" w:color="000000"/>
            </w:tcBorders>
            <w:shd w:val="clear" w:color="auto" w:fill="FFFFFF"/>
            <w:vAlign w:val="center"/>
            <w:hideMark/>
          </w:tcPr>
          <w:p w14:paraId="52006B47" w14:textId="77777777" w:rsidR="008F7C16" w:rsidRPr="008F7C16" w:rsidRDefault="008F7C16" w:rsidP="008F7C16">
            <w:pPr>
              <w:widowControl/>
              <w:rPr>
                <w:rFonts w:ascii="微软雅黑" w:eastAsia="微软雅黑" w:hAnsi="微软雅黑" w:cs="宋体"/>
                <w:color w:val="333333"/>
                <w:kern w:val="0"/>
                <w:sz w:val="26"/>
                <w:szCs w:val="26"/>
              </w:rPr>
            </w:pP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52069AB"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结果维护</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782AE05"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结果纠正</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B5ADB0B"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其他结果</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7921E20"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尚未审结</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B9A5F1B"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总计</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C3F7276"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结果维护</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9170909"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结果纠正</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3C274E3"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其他结果</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60B0168"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尚未审结</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F41BD8F" w14:textId="77777777" w:rsidR="008F7C16" w:rsidRPr="008F7C16" w:rsidRDefault="008F7C16" w:rsidP="008F7C16">
            <w:pPr>
              <w:widowControl/>
              <w:spacing w:line="540" w:lineRule="atLeast"/>
              <w:jc w:val="center"/>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总计</w:t>
            </w:r>
          </w:p>
        </w:tc>
      </w:tr>
      <w:tr w:rsidR="008F7C16" w:rsidRPr="008F7C16" w14:paraId="61600442" w14:textId="77777777" w:rsidTr="008F7C16">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4E774B1"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E7479F2"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5773C56"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A52A028"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ED71478"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C3915B1"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501CF77"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180C97F"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4BEC8A1"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623AADF"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15EF371"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2AE2C5C"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EE8BE6E"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1DE6936"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c>
          <w:tcPr>
            <w:tcW w:w="57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C7721FE" w14:textId="77777777" w:rsidR="008F7C16" w:rsidRPr="008F7C16" w:rsidRDefault="008F7C16" w:rsidP="008F7C16">
            <w:pPr>
              <w:widowControl/>
              <w:spacing w:line="540" w:lineRule="atLeast"/>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20"/>
                <w:szCs w:val="20"/>
                <w:bdr w:val="none" w:sz="0" w:space="0" w:color="auto" w:frame="1"/>
              </w:rPr>
              <w:t>0</w:t>
            </w:r>
          </w:p>
        </w:tc>
      </w:tr>
    </w:tbl>
    <w:p w14:paraId="3B9042E6" w14:textId="77777777" w:rsidR="008F7C16" w:rsidRPr="008F7C16" w:rsidRDefault="008F7C16" w:rsidP="008F7C16">
      <w:pPr>
        <w:widowControl/>
        <w:shd w:val="clear" w:color="auto" w:fill="FFFFFF"/>
        <w:rPr>
          <w:rFonts w:ascii="微软雅黑" w:eastAsia="微软雅黑" w:hAnsi="微软雅黑" w:cs="宋体" w:hint="eastAsia"/>
          <w:color w:val="333333"/>
          <w:kern w:val="0"/>
          <w:sz w:val="26"/>
          <w:szCs w:val="26"/>
        </w:rPr>
      </w:pPr>
      <w:r w:rsidRPr="008F7C16">
        <w:rPr>
          <w:rFonts w:ascii="宋体" w:eastAsia="宋体" w:hAnsi="宋体" w:cs="宋体" w:hint="eastAsia"/>
          <w:color w:val="333333"/>
          <w:kern w:val="0"/>
          <w:sz w:val="32"/>
          <w:szCs w:val="32"/>
          <w:bdr w:val="none" w:sz="0" w:space="0" w:color="auto" w:frame="1"/>
        </w:rPr>
        <w:t> </w:t>
      </w:r>
    </w:p>
    <w:p w14:paraId="2863531D"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黑体" w:eastAsia="黑体" w:hAnsi="黑体" w:cs="宋体" w:hint="eastAsia"/>
          <w:color w:val="000000"/>
          <w:kern w:val="0"/>
          <w:sz w:val="27"/>
          <w:szCs w:val="27"/>
          <w:bdr w:val="none" w:sz="0" w:space="0" w:color="auto" w:frame="1"/>
          <w:shd w:val="clear" w:color="auto" w:fill="FFFFFF"/>
        </w:rPr>
        <w:t>五、存在的主要问题及改进情况</w:t>
      </w:r>
    </w:p>
    <w:p w14:paraId="0578460C"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主要问题：一是对新修订的《条例》的学习宣传、贯彻落实需要进一步加强；二是民生领域信息公开需加大推进力度；三是回应解读力度需加强。</w:t>
      </w:r>
    </w:p>
    <w:p w14:paraId="7223EAE9"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改进措施：一是继续加强宣传培训学习；强化培养政务公开队伍，加强政策理论学习、研究，深入贯彻公开理念，确保政府信息公开工作</w:t>
      </w:r>
      <w:r w:rsidRPr="008F7C16">
        <w:rPr>
          <w:rFonts w:ascii="宋体" w:eastAsia="宋体" w:hAnsi="宋体" w:cs="宋体" w:hint="eastAsia"/>
          <w:color w:val="000000"/>
          <w:kern w:val="0"/>
          <w:sz w:val="27"/>
          <w:szCs w:val="27"/>
          <w:bdr w:val="none" w:sz="0" w:space="0" w:color="auto" w:frame="1"/>
          <w:shd w:val="clear" w:color="auto" w:fill="FFFFFF"/>
        </w:rPr>
        <w:lastRenderedPageBreak/>
        <w:t>落到实处。二是加大民生领域信息公开力度；重点公开社会救助、社会组织、养老服务等社会重点关注领域信息；三是加大回应解读力度，丰富信息公开的内容和形式，定期回应公众关注的热点或重大舆情。</w:t>
      </w:r>
    </w:p>
    <w:p w14:paraId="66F7E175"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黑体" w:eastAsia="黑体" w:hAnsi="黑体" w:cs="宋体" w:hint="eastAsia"/>
          <w:color w:val="000000"/>
          <w:kern w:val="0"/>
          <w:sz w:val="27"/>
          <w:szCs w:val="27"/>
          <w:bdr w:val="none" w:sz="0" w:space="0" w:color="auto" w:frame="1"/>
          <w:shd w:val="clear" w:color="auto" w:fill="FFFFFF"/>
        </w:rPr>
        <w:t>六、其他需要报告的事项</w:t>
      </w:r>
    </w:p>
    <w:p w14:paraId="4E91263C" w14:textId="77777777" w:rsidR="008F7C16" w:rsidRPr="008F7C16" w:rsidRDefault="008F7C16" w:rsidP="008F7C16">
      <w:pPr>
        <w:widowControl/>
        <w:shd w:val="clear" w:color="auto" w:fill="FFFFFF"/>
        <w:ind w:firstLine="420"/>
        <w:rPr>
          <w:rFonts w:ascii="微软雅黑" w:eastAsia="微软雅黑" w:hAnsi="微软雅黑" w:cs="宋体" w:hint="eastAsia"/>
          <w:color w:val="333333"/>
          <w:kern w:val="0"/>
          <w:sz w:val="26"/>
          <w:szCs w:val="26"/>
        </w:rPr>
      </w:pPr>
      <w:r w:rsidRPr="008F7C16">
        <w:rPr>
          <w:rFonts w:ascii="宋体" w:eastAsia="宋体" w:hAnsi="宋体" w:cs="宋体" w:hint="eastAsia"/>
          <w:color w:val="000000"/>
          <w:kern w:val="0"/>
          <w:sz w:val="27"/>
          <w:szCs w:val="27"/>
          <w:bdr w:val="none" w:sz="0" w:space="0" w:color="auto" w:frame="1"/>
          <w:shd w:val="clear" w:color="auto" w:fill="FFFFFF"/>
        </w:rPr>
        <w:t>无</w:t>
      </w:r>
    </w:p>
    <w:p w14:paraId="7033A3FC" w14:textId="77777777" w:rsidR="008F7C16" w:rsidRDefault="008F7C16">
      <w:pPr>
        <w:rPr>
          <w:rFonts w:hint="eastAsia"/>
        </w:rPr>
      </w:pPr>
    </w:p>
    <w:sectPr w:rsidR="008F7C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5FEF" w14:textId="77777777" w:rsidR="00C55F11" w:rsidRDefault="00C55F11" w:rsidP="008F7C16">
      <w:r>
        <w:separator/>
      </w:r>
    </w:p>
  </w:endnote>
  <w:endnote w:type="continuationSeparator" w:id="0">
    <w:p w14:paraId="444E1C8F" w14:textId="77777777" w:rsidR="00C55F11" w:rsidRDefault="00C55F11" w:rsidP="008F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2B7F" w14:textId="77777777" w:rsidR="00C55F11" w:rsidRDefault="00C55F11" w:rsidP="008F7C16">
      <w:r>
        <w:separator/>
      </w:r>
    </w:p>
  </w:footnote>
  <w:footnote w:type="continuationSeparator" w:id="0">
    <w:p w14:paraId="56FF6A3B" w14:textId="77777777" w:rsidR="00C55F11" w:rsidRDefault="00C55F11" w:rsidP="008F7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4E"/>
    <w:rsid w:val="00323E4E"/>
    <w:rsid w:val="008F7C16"/>
    <w:rsid w:val="00C5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2141"/>
  <w15:chartTrackingRefBased/>
  <w15:docId w15:val="{41A4F652-381D-44F3-9343-D4102306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C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7C16"/>
    <w:rPr>
      <w:sz w:val="18"/>
      <w:szCs w:val="18"/>
    </w:rPr>
  </w:style>
  <w:style w:type="paragraph" w:styleId="a5">
    <w:name w:val="footer"/>
    <w:basedOn w:val="a"/>
    <w:link w:val="a6"/>
    <w:uiPriority w:val="99"/>
    <w:unhideWhenUsed/>
    <w:rsid w:val="008F7C16"/>
    <w:pPr>
      <w:tabs>
        <w:tab w:val="center" w:pos="4153"/>
        <w:tab w:val="right" w:pos="8306"/>
      </w:tabs>
      <w:snapToGrid w:val="0"/>
      <w:jc w:val="left"/>
    </w:pPr>
    <w:rPr>
      <w:sz w:val="18"/>
      <w:szCs w:val="18"/>
    </w:rPr>
  </w:style>
  <w:style w:type="character" w:customStyle="1" w:styleId="a6">
    <w:name w:val="页脚 字符"/>
    <w:basedOn w:val="a0"/>
    <w:link w:val="a5"/>
    <w:uiPriority w:val="99"/>
    <w:rsid w:val="008F7C16"/>
    <w:rPr>
      <w:sz w:val="18"/>
      <w:szCs w:val="18"/>
    </w:rPr>
  </w:style>
  <w:style w:type="paragraph" w:styleId="a7">
    <w:name w:val="Normal (Web)"/>
    <w:basedOn w:val="a"/>
    <w:uiPriority w:val="99"/>
    <w:semiHidden/>
    <w:unhideWhenUsed/>
    <w:rsid w:val="008F7C1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8F7C16"/>
    <w:rPr>
      <w:color w:val="0000FF"/>
      <w:u w:val="single"/>
    </w:rPr>
  </w:style>
  <w:style w:type="character" w:styleId="a9">
    <w:name w:val="Strong"/>
    <w:basedOn w:val="a0"/>
    <w:uiPriority w:val="22"/>
    <w:qFormat/>
    <w:rsid w:val="008F7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z.yichu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milk</dc:creator>
  <cp:keywords/>
  <dc:description/>
  <cp:lastModifiedBy>l milk</cp:lastModifiedBy>
  <cp:revision>2</cp:revision>
  <dcterms:created xsi:type="dcterms:W3CDTF">2021-07-21T08:02:00Z</dcterms:created>
  <dcterms:modified xsi:type="dcterms:W3CDTF">2021-07-21T08:03:00Z</dcterms:modified>
</cp:coreProperties>
</file>